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4D6E9" w14:textId="77777777" w:rsidR="00D063B6" w:rsidRDefault="00D063B6" w:rsidP="006453FC">
      <w:pPr>
        <w:ind w:left="-284"/>
        <w:jc w:val="center"/>
        <w:rPr>
          <w:rFonts w:asciiTheme="majorBidi" w:hAnsiTheme="majorBidi" w:cstheme="majorBidi"/>
          <w:b/>
          <w:bCs/>
          <w:caps/>
          <w:color w:val="002060"/>
          <w:sz w:val="36"/>
          <w:szCs w:val="36"/>
        </w:rPr>
      </w:pPr>
      <w:bookmarkStart w:id="0" w:name="_Hlk55477233"/>
    </w:p>
    <w:p w14:paraId="5025176C" w14:textId="021350F1" w:rsidR="006453FC" w:rsidRPr="00080743" w:rsidRDefault="006453FC" w:rsidP="006453FC">
      <w:pPr>
        <w:ind w:left="-284"/>
        <w:jc w:val="center"/>
        <w:rPr>
          <w:rFonts w:asciiTheme="majorBidi" w:hAnsiTheme="majorBidi" w:cstheme="majorBidi"/>
          <w:b/>
          <w:bCs/>
          <w:caps/>
          <w:color w:val="002060"/>
          <w:sz w:val="36"/>
          <w:szCs w:val="36"/>
        </w:rPr>
      </w:pPr>
      <w:r w:rsidRPr="00080743">
        <w:rPr>
          <w:rFonts w:asciiTheme="majorBidi" w:hAnsiTheme="majorBidi" w:cstheme="majorBidi"/>
          <w:b/>
          <w:bCs/>
          <w:caps/>
          <w:color w:val="002060"/>
          <w:sz w:val="36"/>
          <w:szCs w:val="36"/>
        </w:rPr>
        <w:t xml:space="preserve">BORDEREAU DU PRIX </w:t>
      </w:r>
      <w:r w:rsidRPr="005560BB">
        <w:rPr>
          <w:rFonts w:asciiTheme="majorBidi" w:hAnsiTheme="majorBidi" w:cstheme="majorBidi"/>
          <w:b/>
          <w:bCs/>
          <w:caps/>
          <w:color w:val="002060"/>
          <w:sz w:val="36"/>
          <w:szCs w:val="36"/>
        </w:rPr>
        <w:t>détail-estimatif</w:t>
      </w:r>
    </w:p>
    <w:bookmarkEnd w:id="0"/>
    <w:p w14:paraId="7C53A195" w14:textId="7F70292B" w:rsidR="00B81068" w:rsidRPr="00EE64FF" w:rsidRDefault="00E53F9B" w:rsidP="00D063B6">
      <w:pPr>
        <w:spacing w:before="120"/>
        <w:ind w:left="-284" w:right="-284"/>
        <w:jc w:val="center"/>
        <w:rPr>
          <w:b/>
          <w:bCs/>
          <w:caps/>
          <w:color w:val="002060"/>
          <w:rtl/>
        </w:rPr>
      </w:pPr>
      <w:r w:rsidRPr="00EE64FF">
        <w:rPr>
          <w:b/>
          <w:bCs/>
          <w:caps/>
          <w:color w:val="002060"/>
        </w:rPr>
        <w:t>APPEL D’OFFRE n° 01/2024 relatif à l’organisation de douze (12) journées régionales de sensibilisation sur la prévention des risques professionnels au profit des entreprises</w:t>
      </w:r>
      <w:r w:rsidR="00D063B6">
        <w:rPr>
          <w:b/>
          <w:bCs/>
          <w:caps/>
          <w:color w:val="002060"/>
        </w:rPr>
        <w:t>, DES PARTENAIRES SOCIAUX</w:t>
      </w:r>
      <w:r w:rsidRPr="00EE64FF">
        <w:rPr>
          <w:b/>
          <w:bCs/>
          <w:caps/>
          <w:color w:val="002060"/>
        </w:rPr>
        <w:t xml:space="preserve"> et des acteurs locaux pour le compte de l’Institut National des Conditions de Vie au Travail, en lot unique</w:t>
      </w:r>
      <w:r w:rsidRPr="00EE64FF">
        <w:rPr>
          <w:rFonts w:eastAsia="Times New Roman"/>
        </w:rPr>
        <w:t>.</w:t>
      </w:r>
    </w:p>
    <w:tbl>
      <w:tblPr>
        <w:tblpPr w:leftFromText="141" w:rightFromText="141" w:vertAnchor="text" w:horzAnchor="margin" w:tblpXSpec="center" w:tblpY="164"/>
        <w:tblW w:w="1074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1134"/>
        <w:gridCol w:w="1701"/>
        <w:gridCol w:w="1701"/>
      </w:tblGrid>
      <w:tr w:rsidR="00C805BB" w:rsidRPr="00C805BB" w14:paraId="6D766749" w14:textId="77777777" w:rsidTr="009B1C3D">
        <w:trPr>
          <w:cantSplit/>
          <w:trHeight w:val="20"/>
        </w:trPr>
        <w:tc>
          <w:tcPr>
            <w:tcW w:w="817" w:type="dxa"/>
            <w:shd w:val="clear" w:color="auto" w:fill="DEEAF6"/>
            <w:vAlign w:val="center"/>
          </w:tcPr>
          <w:p w14:paraId="3BB5D880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805BB">
              <w:rPr>
                <w:rFonts w:eastAsia="Times New Roman"/>
                <w:b/>
                <w:bCs/>
                <w:sz w:val="20"/>
                <w:szCs w:val="20"/>
              </w:rPr>
              <w:t>N° du Prix</w:t>
            </w:r>
          </w:p>
        </w:tc>
        <w:tc>
          <w:tcPr>
            <w:tcW w:w="4394" w:type="dxa"/>
            <w:shd w:val="clear" w:color="auto" w:fill="DEEAF6"/>
            <w:vAlign w:val="center"/>
          </w:tcPr>
          <w:p w14:paraId="4A3F7E51" w14:textId="77777777" w:rsidR="00C805BB" w:rsidRPr="00C805BB" w:rsidRDefault="00C805BB" w:rsidP="00C805B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805BB">
              <w:rPr>
                <w:rFonts w:eastAsia="Times New Roman"/>
                <w:b/>
                <w:bCs/>
                <w:sz w:val="20"/>
                <w:szCs w:val="20"/>
              </w:rPr>
              <w:t>Désignation de la Prestation</w:t>
            </w:r>
          </w:p>
        </w:tc>
        <w:tc>
          <w:tcPr>
            <w:tcW w:w="993" w:type="dxa"/>
            <w:shd w:val="clear" w:color="auto" w:fill="DEEAF6"/>
            <w:vAlign w:val="center"/>
          </w:tcPr>
          <w:p w14:paraId="00DDBEC6" w14:textId="77777777" w:rsidR="00C805BB" w:rsidRPr="00C805BB" w:rsidRDefault="00C805BB" w:rsidP="00C805B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805BB">
              <w:rPr>
                <w:rFonts w:eastAsia="Times New Roman"/>
                <w:b/>
                <w:bCs/>
                <w:sz w:val="20"/>
                <w:szCs w:val="20"/>
              </w:rPr>
              <w:t xml:space="preserve">Unité 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55EC6122" w14:textId="77777777" w:rsidR="00C805BB" w:rsidRPr="00C805BB" w:rsidRDefault="00C805BB" w:rsidP="00C805B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805BB">
              <w:rPr>
                <w:rFonts w:eastAsia="Times New Roman"/>
                <w:b/>
                <w:bCs/>
                <w:sz w:val="20"/>
                <w:szCs w:val="20"/>
              </w:rPr>
              <w:t xml:space="preserve">Quantité 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68573FD3" w14:textId="77777777" w:rsidR="00C805BB" w:rsidRPr="00C805BB" w:rsidRDefault="00C805BB" w:rsidP="00C805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805BB">
              <w:rPr>
                <w:rFonts w:eastAsia="Times New Roman"/>
                <w:b/>
                <w:bCs/>
                <w:sz w:val="16"/>
                <w:szCs w:val="16"/>
              </w:rPr>
              <w:t>Prix unitaire en DH Hors TVA en Chiffre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76386B39" w14:textId="77777777" w:rsidR="00C805BB" w:rsidRPr="00C805BB" w:rsidRDefault="00C805BB" w:rsidP="00C805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805BB">
              <w:rPr>
                <w:rFonts w:eastAsia="Times New Roman"/>
                <w:b/>
                <w:bCs/>
                <w:sz w:val="16"/>
                <w:szCs w:val="16"/>
              </w:rPr>
              <w:t>Prix total en DH Hors TVA en Chiffre</w:t>
            </w:r>
          </w:p>
        </w:tc>
      </w:tr>
      <w:tr w:rsidR="00C805BB" w:rsidRPr="00C805BB" w14:paraId="30B83A7D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726545D7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rFonts w:eastAsia="Times New Roman"/>
                <w:b/>
                <w:bCs/>
                <w:spacing w:val="-7"/>
                <w:w w:val="105"/>
                <w:sz w:val="20"/>
                <w:szCs w:val="20"/>
              </w:rPr>
            </w:pPr>
            <w:r w:rsidRPr="00C805BB">
              <w:rPr>
                <w:rFonts w:eastAsia="Times New Roman"/>
                <w:b/>
                <w:bCs/>
                <w:sz w:val="20"/>
                <w:szCs w:val="20"/>
              </w:rPr>
              <w:t>Prix</w:t>
            </w:r>
            <w:r w:rsidRPr="00C805B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N°1</w:t>
            </w:r>
          </w:p>
        </w:tc>
        <w:tc>
          <w:tcPr>
            <w:tcW w:w="4394" w:type="dxa"/>
            <w:vAlign w:val="center"/>
          </w:tcPr>
          <w:p w14:paraId="32353FB8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Pack salle et restauration (Salle de conférence + Pause-Café et déjeuner) à Rabat dans un Hôtel cinq (5) étoiles.</w:t>
            </w:r>
          </w:p>
        </w:tc>
        <w:tc>
          <w:tcPr>
            <w:tcW w:w="993" w:type="dxa"/>
            <w:vAlign w:val="center"/>
          </w:tcPr>
          <w:p w14:paraId="3FDA3E00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Personne</w:t>
            </w:r>
          </w:p>
        </w:tc>
        <w:tc>
          <w:tcPr>
            <w:tcW w:w="1134" w:type="dxa"/>
            <w:vAlign w:val="center"/>
          </w:tcPr>
          <w:p w14:paraId="32895CC5" w14:textId="77777777" w:rsidR="00C805BB" w:rsidRPr="00C805BB" w:rsidRDefault="00C805BB" w:rsidP="00C805BB">
            <w:pPr>
              <w:spacing w:line="300" w:lineRule="exact"/>
              <w:jc w:val="center"/>
              <w:rPr>
                <w:rFonts w:eastAsia="Times New Roman"/>
              </w:rPr>
            </w:pPr>
            <w:r w:rsidRPr="00C805BB">
              <w:t>195</w:t>
            </w:r>
          </w:p>
        </w:tc>
        <w:tc>
          <w:tcPr>
            <w:tcW w:w="1701" w:type="dxa"/>
            <w:vAlign w:val="center"/>
          </w:tcPr>
          <w:p w14:paraId="5AB8B214" w14:textId="77777777" w:rsidR="00C805BB" w:rsidRPr="00C805BB" w:rsidRDefault="00C805BB" w:rsidP="00C805BB">
            <w:pPr>
              <w:spacing w:line="30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949229" w14:textId="77777777" w:rsidR="00C805BB" w:rsidRPr="00C805BB" w:rsidRDefault="00C805BB" w:rsidP="00C805BB">
            <w:pPr>
              <w:spacing w:line="30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805BB" w:rsidRPr="00C805BB" w14:paraId="49782DEC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26A8902C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rFonts w:eastAsia="Times New Roman"/>
                <w:b/>
                <w:bCs/>
                <w:spacing w:val="-7"/>
                <w:w w:val="105"/>
                <w:sz w:val="20"/>
                <w:szCs w:val="20"/>
              </w:rPr>
            </w:pPr>
            <w:r w:rsidRPr="00C805BB">
              <w:rPr>
                <w:rFonts w:eastAsia="Times New Roman"/>
                <w:b/>
                <w:bCs/>
                <w:sz w:val="20"/>
                <w:szCs w:val="20"/>
              </w:rPr>
              <w:t>Prix</w:t>
            </w:r>
            <w:r w:rsidRPr="00C805B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N°2</w:t>
            </w:r>
          </w:p>
        </w:tc>
        <w:tc>
          <w:tcPr>
            <w:tcW w:w="4394" w:type="dxa"/>
            <w:vAlign w:val="center"/>
          </w:tcPr>
          <w:p w14:paraId="2BAFBBC1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Pack salle et restauration (Salle de conférence + Pause-Café et Déjeuner) pour les onze (11) autres régions du Royaume dans un Hôtel quatre (4) étoiles </w:t>
            </w:r>
          </w:p>
        </w:tc>
        <w:tc>
          <w:tcPr>
            <w:tcW w:w="993" w:type="dxa"/>
            <w:vAlign w:val="center"/>
          </w:tcPr>
          <w:p w14:paraId="0FC2B7CE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Personne</w:t>
            </w:r>
          </w:p>
        </w:tc>
        <w:tc>
          <w:tcPr>
            <w:tcW w:w="1134" w:type="dxa"/>
            <w:vAlign w:val="center"/>
          </w:tcPr>
          <w:p w14:paraId="3C120166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1385</w:t>
            </w:r>
          </w:p>
        </w:tc>
        <w:tc>
          <w:tcPr>
            <w:tcW w:w="1701" w:type="dxa"/>
            <w:vAlign w:val="center"/>
          </w:tcPr>
          <w:p w14:paraId="19CC7C4D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C94C12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20"/>
                <w:szCs w:val="20"/>
              </w:rPr>
            </w:pPr>
          </w:p>
        </w:tc>
      </w:tr>
      <w:tr w:rsidR="00C805BB" w:rsidRPr="00C805BB" w14:paraId="4F8FD290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22869958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N°3</w:t>
            </w:r>
          </w:p>
        </w:tc>
        <w:tc>
          <w:tcPr>
            <w:tcW w:w="4394" w:type="dxa"/>
            <w:vAlign w:val="center"/>
          </w:tcPr>
          <w:p w14:paraId="20B579F2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Accueil des participants</w:t>
            </w:r>
          </w:p>
        </w:tc>
        <w:tc>
          <w:tcPr>
            <w:tcW w:w="993" w:type="dxa"/>
            <w:vAlign w:val="center"/>
          </w:tcPr>
          <w:p w14:paraId="6D13FC7F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</w:t>
            </w:r>
          </w:p>
        </w:tc>
        <w:tc>
          <w:tcPr>
            <w:tcW w:w="1134" w:type="dxa"/>
            <w:vAlign w:val="center"/>
          </w:tcPr>
          <w:p w14:paraId="32CA8E32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</w:t>
            </w:r>
          </w:p>
        </w:tc>
        <w:tc>
          <w:tcPr>
            <w:tcW w:w="1701" w:type="dxa"/>
            <w:vAlign w:val="center"/>
          </w:tcPr>
          <w:p w14:paraId="1FBDE9F6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3C53505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44E06B62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5B8DBEAB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N°4</w:t>
            </w:r>
          </w:p>
        </w:tc>
        <w:tc>
          <w:tcPr>
            <w:tcW w:w="4394" w:type="dxa"/>
            <w:vAlign w:val="center"/>
          </w:tcPr>
          <w:p w14:paraId="67D89696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 xml:space="preserve">Conception graphique, impression numérique, fourniture et fixation/pose d’outils et support de communication </w:t>
            </w:r>
          </w:p>
        </w:tc>
        <w:tc>
          <w:tcPr>
            <w:tcW w:w="993" w:type="dxa"/>
            <w:vAlign w:val="center"/>
          </w:tcPr>
          <w:p w14:paraId="7B15EAFB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</w:t>
            </w:r>
          </w:p>
        </w:tc>
        <w:tc>
          <w:tcPr>
            <w:tcW w:w="1134" w:type="dxa"/>
            <w:vAlign w:val="center"/>
          </w:tcPr>
          <w:p w14:paraId="12E48E01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</w:t>
            </w:r>
          </w:p>
        </w:tc>
        <w:tc>
          <w:tcPr>
            <w:tcW w:w="1701" w:type="dxa"/>
            <w:vAlign w:val="center"/>
          </w:tcPr>
          <w:p w14:paraId="652888B7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F11B1D7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2B727DBC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7084661D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N°5</w:t>
            </w:r>
          </w:p>
        </w:tc>
        <w:tc>
          <w:tcPr>
            <w:tcW w:w="4394" w:type="dxa"/>
            <w:vAlign w:val="center"/>
          </w:tcPr>
          <w:p w14:paraId="224E6CB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Fourniture de 20 kits d’accueil VIP et deux (2) coffrets de luxe high-tech (VVIP) pour les participants à Rabat.</w:t>
            </w:r>
          </w:p>
        </w:tc>
        <w:tc>
          <w:tcPr>
            <w:tcW w:w="993" w:type="dxa"/>
            <w:vAlign w:val="center"/>
          </w:tcPr>
          <w:p w14:paraId="35AE2810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</w:t>
            </w:r>
          </w:p>
        </w:tc>
        <w:tc>
          <w:tcPr>
            <w:tcW w:w="1134" w:type="dxa"/>
            <w:vAlign w:val="center"/>
          </w:tcPr>
          <w:p w14:paraId="7543B764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</w:t>
            </w:r>
          </w:p>
        </w:tc>
        <w:tc>
          <w:tcPr>
            <w:tcW w:w="1701" w:type="dxa"/>
            <w:vAlign w:val="center"/>
          </w:tcPr>
          <w:p w14:paraId="41DF5F67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15BD7C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193E7701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624E59DB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N°6</w:t>
            </w:r>
          </w:p>
        </w:tc>
        <w:tc>
          <w:tcPr>
            <w:tcW w:w="4394" w:type="dxa"/>
            <w:vAlign w:val="center"/>
          </w:tcPr>
          <w:p w14:paraId="72DA081D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Fourniture de kits d’accueil pour les participants à Rabat.</w:t>
            </w:r>
          </w:p>
        </w:tc>
        <w:tc>
          <w:tcPr>
            <w:tcW w:w="993" w:type="dxa"/>
            <w:vAlign w:val="center"/>
          </w:tcPr>
          <w:p w14:paraId="31762D68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U</w:t>
            </w:r>
          </w:p>
        </w:tc>
        <w:tc>
          <w:tcPr>
            <w:tcW w:w="1134" w:type="dxa"/>
            <w:vAlign w:val="center"/>
          </w:tcPr>
          <w:p w14:paraId="1DB8C5C7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185</w:t>
            </w:r>
          </w:p>
        </w:tc>
        <w:tc>
          <w:tcPr>
            <w:tcW w:w="1701" w:type="dxa"/>
            <w:vAlign w:val="center"/>
          </w:tcPr>
          <w:p w14:paraId="54881259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34BCDF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3C478719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0C68197E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N°7</w:t>
            </w:r>
          </w:p>
        </w:tc>
        <w:tc>
          <w:tcPr>
            <w:tcW w:w="4394" w:type="dxa"/>
            <w:vAlign w:val="center"/>
          </w:tcPr>
          <w:p w14:paraId="10A69CC4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bookmarkStart w:id="1" w:name="_Hlk172110041"/>
            <w:r w:rsidRPr="00C805BB">
              <w:rPr>
                <w:sz w:val="18"/>
                <w:szCs w:val="18"/>
              </w:rPr>
              <w:t>Fourniture de kits d’accueil pour les participants au niveau des onze (11) autres Régions</w:t>
            </w:r>
            <w:bookmarkEnd w:id="1"/>
          </w:p>
        </w:tc>
        <w:tc>
          <w:tcPr>
            <w:tcW w:w="993" w:type="dxa"/>
            <w:vAlign w:val="center"/>
          </w:tcPr>
          <w:p w14:paraId="62D8C233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U</w:t>
            </w:r>
          </w:p>
        </w:tc>
        <w:tc>
          <w:tcPr>
            <w:tcW w:w="1134" w:type="dxa"/>
            <w:vAlign w:val="center"/>
          </w:tcPr>
          <w:p w14:paraId="309F04CE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1385</w:t>
            </w:r>
          </w:p>
        </w:tc>
        <w:tc>
          <w:tcPr>
            <w:tcW w:w="1701" w:type="dxa"/>
            <w:vAlign w:val="center"/>
          </w:tcPr>
          <w:p w14:paraId="5F882A5A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5CD9E88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5617277A" w14:textId="77777777" w:rsidTr="009B1C3D">
        <w:trPr>
          <w:cantSplit/>
          <w:trHeight w:val="648"/>
        </w:trPr>
        <w:tc>
          <w:tcPr>
            <w:tcW w:w="817" w:type="dxa"/>
            <w:vAlign w:val="center"/>
          </w:tcPr>
          <w:p w14:paraId="1F168CB2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N°8</w:t>
            </w:r>
          </w:p>
        </w:tc>
        <w:tc>
          <w:tcPr>
            <w:tcW w:w="4394" w:type="dxa"/>
            <w:vAlign w:val="center"/>
          </w:tcPr>
          <w:p w14:paraId="3F204E7F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Production et livraison sur un disque dur SSD de 2Tb minimum de l’ensemble des douze journées régionales de sensibilisation :</w:t>
            </w:r>
          </w:p>
          <w:p w14:paraId="55704310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 xml:space="preserve">- Photos numériques par journée régionale de sensibilisation ; </w:t>
            </w:r>
          </w:p>
          <w:p w14:paraId="4EC9B05A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 xml:space="preserve">- Un Best Of de trois (3) minutes par journée régionale de sensibilisation. ; </w:t>
            </w:r>
          </w:p>
          <w:p w14:paraId="2A7F49FC" w14:textId="77777777" w:rsidR="00C805BB" w:rsidRPr="00C805BB" w:rsidRDefault="00C805BB" w:rsidP="006D1884">
            <w:pPr>
              <w:tabs>
                <w:tab w:val="left" w:pos="175"/>
              </w:tabs>
              <w:ind w:right="30"/>
              <w:contextualSpacing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- La réalisation de quatre (4) interviews par région avec intervenants et participants ;</w:t>
            </w:r>
          </w:p>
          <w:p w14:paraId="7046017D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 xml:space="preserve">- Une vidéo intégrale par journée régionale de sensibilisation. </w:t>
            </w:r>
          </w:p>
          <w:p w14:paraId="48B41A69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- 05 albums photos</w:t>
            </w:r>
          </w:p>
        </w:tc>
        <w:tc>
          <w:tcPr>
            <w:tcW w:w="993" w:type="dxa"/>
            <w:vAlign w:val="center"/>
          </w:tcPr>
          <w:p w14:paraId="40660DAE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U</w:t>
            </w:r>
          </w:p>
        </w:tc>
        <w:tc>
          <w:tcPr>
            <w:tcW w:w="1134" w:type="dxa"/>
            <w:vAlign w:val="center"/>
          </w:tcPr>
          <w:p w14:paraId="26279664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12</w:t>
            </w:r>
          </w:p>
        </w:tc>
        <w:tc>
          <w:tcPr>
            <w:tcW w:w="1701" w:type="dxa"/>
            <w:vAlign w:val="center"/>
          </w:tcPr>
          <w:p w14:paraId="57C14D6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DC412EF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075112E4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51524631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N°9</w:t>
            </w:r>
          </w:p>
        </w:tc>
        <w:tc>
          <w:tcPr>
            <w:tcW w:w="4394" w:type="dxa"/>
            <w:vAlign w:val="center"/>
          </w:tcPr>
          <w:p w14:paraId="5C5B9B98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Réservation d'une chambre dans un Hôtel quatre (4) étoiles en demi-pension (Diner + Petit déjeuner)</w:t>
            </w:r>
          </w:p>
        </w:tc>
        <w:tc>
          <w:tcPr>
            <w:tcW w:w="993" w:type="dxa"/>
            <w:vAlign w:val="center"/>
          </w:tcPr>
          <w:p w14:paraId="416CEF3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Nuitée</w:t>
            </w:r>
          </w:p>
        </w:tc>
        <w:tc>
          <w:tcPr>
            <w:tcW w:w="1134" w:type="dxa"/>
            <w:vAlign w:val="center"/>
          </w:tcPr>
          <w:p w14:paraId="0B22A28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80</w:t>
            </w:r>
          </w:p>
        </w:tc>
        <w:tc>
          <w:tcPr>
            <w:tcW w:w="1701" w:type="dxa"/>
            <w:vAlign w:val="center"/>
          </w:tcPr>
          <w:p w14:paraId="4AC28EDB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4EF31AA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253EC44F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4C4E56EC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N°10</w:t>
            </w:r>
          </w:p>
        </w:tc>
        <w:tc>
          <w:tcPr>
            <w:tcW w:w="4394" w:type="dxa"/>
            <w:vAlign w:val="center"/>
          </w:tcPr>
          <w:p w14:paraId="74696802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Frais de Transport Terrestre des animateurs et intervenants / organisateurs des journées régionales de sensibilisation organisés dans les douze (12) régions du Royaume</w:t>
            </w:r>
          </w:p>
        </w:tc>
        <w:tc>
          <w:tcPr>
            <w:tcW w:w="993" w:type="dxa"/>
            <w:vAlign w:val="center"/>
          </w:tcPr>
          <w:p w14:paraId="0AC8117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</w:t>
            </w:r>
          </w:p>
        </w:tc>
        <w:tc>
          <w:tcPr>
            <w:tcW w:w="1134" w:type="dxa"/>
            <w:vAlign w:val="center"/>
          </w:tcPr>
          <w:p w14:paraId="38538628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</w:t>
            </w:r>
          </w:p>
        </w:tc>
        <w:tc>
          <w:tcPr>
            <w:tcW w:w="1701" w:type="dxa"/>
            <w:vAlign w:val="center"/>
          </w:tcPr>
          <w:p w14:paraId="774E8AA3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B2994D1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1480B4A9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73FDCEE2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N°11</w:t>
            </w:r>
          </w:p>
        </w:tc>
        <w:tc>
          <w:tcPr>
            <w:tcW w:w="4394" w:type="dxa"/>
            <w:vAlign w:val="center"/>
          </w:tcPr>
          <w:p w14:paraId="6AF6992D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Frais de Transport Aérien des animateurs et intervenants / organisateurs des journées régionales de sensibilisation organisés dans Six (6) régions du Royaume.</w:t>
            </w:r>
          </w:p>
        </w:tc>
        <w:tc>
          <w:tcPr>
            <w:tcW w:w="993" w:type="dxa"/>
            <w:vAlign w:val="center"/>
          </w:tcPr>
          <w:p w14:paraId="115F54E7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Billet</w:t>
            </w:r>
          </w:p>
        </w:tc>
        <w:tc>
          <w:tcPr>
            <w:tcW w:w="1134" w:type="dxa"/>
            <w:vAlign w:val="center"/>
          </w:tcPr>
          <w:p w14:paraId="1148D7A5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30</w:t>
            </w:r>
          </w:p>
        </w:tc>
        <w:tc>
          <w:tcPr>
            <w:tcW w:w="1701" w:type="dxa"/>
            <w:vAlign w:val="center"/>
          </w:tcPr>
          <w:p w14:paraId="3285917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2B12E5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150E1E73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289F663A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N°12</w:t>
            </w:r>
          </w:p>
        </w:tc>
        <w:tc>
          <w:tcPr>
            <w:tcW w:w="4394" w:type="dxa"/>
            <w:vAlign w:val="center"/>
          </w:tcPr>
          <w:p w14:paraId="062186B5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Prise en charge des honoraires des animateurs/modérateurs participants aux journées régionales de sensibilisation organisés dans les douze (12) régions du Royaume.</w:t>
            </w:r>
          </w:p>
        </w:tc>
        <w:tc>
          <w:tcPr>
            <w:tcW w:w="993" w:type="dxa"/>
            <w:vAlign w:val="center"/>
          </w:tcPr>
          <w:p w14:paraId="4F3973BE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Personne</w:t>
            </w:r>
          </w:p>
        </w:tc>
        <w:tc>
          <w:tcPr>
            <w:tcW w:w="1134" w:type="dxa"/>
            <w:vAlign w:val="center"/>
          </w:tcPr>
          <w:p w14:paraId="6A1A1D62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25</w:t>
            </w:r>
          </w:p>
        </w:tc>
        <w:tc>
          <w:tcPr>
            <w:tcW w:w="1701" w:type="dxa"/>
            <w:vAlign w:val="center"/>
          </w:tcPr>
          <w:p w14:paraId="06E61EE2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3B7541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308A04C5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59B2E177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N°13</w:t>
            </w:r>
          </w:p>
        </w:tc>
        <w:tc>
          <w:tcPr>
            <w:tcW w:w="4394" w:type="dxa"/>
            <w:vAlign w:val="center"/>
          </w:tcPr>
          <w:p w14:paraId="3E807B35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Couverture médiatique digitale des journées régionales de sensibilisation organisés dans les douze (12) régions du Royaume</w:t>
            </w:r>
          </w:p>
        </w:tc>
        <w:tc>
          <w:tcPr>
            <w:tcW w:w="993" w:type="dxa"/>
            <w:vAlign w:val="center"/>
          </w:tcPr>
          <w:p w14:paraId="62036616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</w:t>
            </w:r>
          </w:p>
        </w:tc>
        <w:tc>
          <w:tcPr>
            <w:tcW w:w="1134" w:type="dxa"/>
            <w:vAlign w:val="center"/>
          </w:tcPr>
          <w:p w14:paraId="37703EEC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</w:t>
            </w:r>
          </w:p>
        </w:tc>
        <w:tc>
          <w:tcPr>
            <w:tcW w:w="1701" w:type="dxa"/>
            <w:vAlign w:val="center"/>
          </w:tcPr>
          <w:p w14:paraId="682AB0E9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D1B7EE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4E0610FB" w14:textId="77777777" w:rsidTr="009B1C3D">
        <w:trPr>
          <w:cantSplit/>
          <w:trHeight w:val="340"/>
        </w:trPr>
        <w:tc>
          <w:tcPr>
            <w:tcW w:w="817" w:type="dxa"/>
            <w:vAlign w:val="center"/>
          </w:tcPr>
          <w:p w14:paraId="39E5D534" w14:textId="77777777" w:rsidR="00C805BB" w:rsidRPr="00C805BB" w:rsidRDefault="00C805BB" w:rsidP="00C805BB">
            <w:pPr>
              <w:tabs>
                <w:tab w:val="left" w:pos="15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05BB">
              <w:rPr>
                <w:b/>
                <w:bCs/>
                <w:sz w:val="20"/>
                <w:szCs w:val="20"/>
              </w:rPr>
              <w:t>Prix N°14</w:t>
            </w:r>
          </w:p>
        </w:tc>
        <w:tc>
          <w:tcPr>
            <w:tcW w:w="4394" w:type="dxa"/>
            <w:vAlign w:val="center"/>
          </w:tcPr>
          <w:p w14:paraId="41310B59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both"/>
              <w:rPr>
                <w:sz w:val="18"/>
                <w:szCs w:val="18"/>
              </w:rPr>
            </w:pPr>
            <w:r w:rsidRPr="00C805BB">
              <w:rPr>
                <w:sz w:val="18"/>
                <w:szCs w:val="18"/>
              </w:rPr>
              <w:t>Frais du transport, montage et démontage d'un Stand avec structure et mobilier.</w:t>
            </w:r>
          </w:p>
        </w:tc>
        <w:tc>
          <w:tcPr>
            <w:tcW w:w="993" w:type="dxa"/>
            <w:vAlign w:val="center"/>
          </w:tcPr>
          <w:p w14:paraId="118D3EE9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  <w:r w:rsidRPr="00C805BB">
              <w:t>F</w:t>
            </w:r>
          </w:p>
        </w:tc>
        <w:tc>
          <w:tcPr>
            <w:tcW w:w="1134" w:type="dxa"/>
            <w:vAlign w:val="center"/>
          </w:tcPr>
          <w:p w14:paraId="72B3217F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</w:pPr>
            <w:r w:rsidRPr="00C805BB">
              <w:t>1</w:t>
            </w:r>
          </w:p>
        </w:tc>
        <w:tc>
          <w:tcPr>
            <w:tcW w:w="1701" w:type="dxa"/>
            <w:vAlign w:val="center"/>
          </w:tcPr>
          <w:p w14:paraId="5D18EF75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0A7521E" w14:textId="77777777" w:rsidR="00C805BB" w:rsidRPr="00C805BB" w:rsidRDefault="00C805BB" w:rsidP="00C805BB">
            <w:pPr>
              <w:tabs>
                <w:tab w:val="left" w:pos="150"/>
              </w:tabs>
              <w:ind w:right="30"/>
              <w:jc w:val="center"/>
              <w:rPr>
                <w:sz w:val="18"/>
                <w:szCs w:val="18"/>
              </w:rPr>
            </w:pPr>
          </w:p>
        </w:tc>
      </w:tr>
      <w:tr w:rsidR="00C805BB" w:rsidRPr="00C805BB" w14:paraId="1790513D" w14:textId="77777777" w:rsidTr="009B1C3D">
        <w:trPr>
          <w:cantSplit/>
          <w:trHeight w:val="285"/>
        </w:trPr>
        <w:tc>
          <w:tcPr>
            <w:tcW w:w="9039" w:type="dxa"/>
            <w:gridSpan w:val="5"/>
            <w:vAlign w:val="center"/>
          </w:tcPr>
          <w:p w14:paraId="59C63CFB" w14:textId="77777777" w:rsidR="00C805BB" w:rsidRPr="00C805BB" w:rsidRDefault="00C805BB" w:rsidP="00C805BB">
            <w:pPr>
              <w:spacing w:line="300" w:lineRule="exact"/>
              <w:jc w:val="right"/>
              <w:rPr>
                <w:rFonts w:eastAsia="Times New Roman"/>
                <w:sz w:val="22"/>
                <w:szCs w:val="22"/>
              </w:rPr>
            </w:pPr>
            <w:r w:rsidRPr="00C805B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Montant Total Hors TVA EN DIRHAMS</w:t>
            </w:r>
          </w:p>
        </w:tc>
        <w:tc>
          <w:tcPr>
            <w:tcW w:w="1701" w:type="dxa"/>
            <w:vAlign w:val="center"/>
          </w:tcPr>
          <w:p w14:paraId="251E542F" w14:textId="77777777" w:rsidR="00C805BB" w:rsidRPr="00C805BB" w:rsidRDefault="00C805BB" w:rsidP="00C805BB">
            <w:pPr>
              <w:spacing w:line="300" w:lineRule="exact"/>
              <w:jc w:val="center"/>
              <w:rPr>
                <w:rFonts w:eastAsia="Times New Roman"/>
              </w:rPr>
            </w:pPr>
          </w:p>
        </w:tc>
      </w:tr>
      <w:tr w:rsidR="00C805BB" w:rsidRPr="00C805BB" w14:paraId="7CA11818" w14:textId="77777777" w:rsidTr="009B1C3D">
        <w:trPr>
          <w:cantSplit/>
          <w:trHeight w:val="219"/>
        </w:trPr>
        <w:tc>
          <w:tcPr>
            <w:tcW w:w="9039" w:type="dxa"/>
            <w:gridSpan w:val="5"/>
            <w:vAlign w:val="center"/>
          </w:tcPr>
          <w:p w14:paraId="1689538D" w14:textId="77777777" w:rsidR="00C805BB" w:rsidRPr="00C805BB" w:rsidRDefault="00C805BB" w:rsidP="00C805BB">
            <w:pPr>
              <w:spacing w:line="300" w:lineRule="exact"/>
              <w:jc w:val="right"/>
              <w:rPr>
                <w:rFonts w:eastAsia="Times New Roman"/>
                <w:sz w:val="22"/>
                <w:szCs w:val="22"/>
              </w:rPr>
            </w:pPr>
            <w:r w:rsidRPr="00C805B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Montant TVA (20%) EN DIRHAMS</w:t>
            </w:r>
          </w:p>
        </w:tc>
        <w:tc>
          <w:tcPr>
            <w:tcW w:w="1701" w:type="dxa"/>
            <w:vAlign w:val="center"/>
          </w:tcPr>
          <w:p w14:paraId="2D56F927" w14:textId="77777777" w:rsidR="00C805BB" w:rsidRPr="00C805BB" w:rsidRDefault="00C805BB" w:rsidP="00C805BB">
            <w:pPr>
              <w:spacing w:line="300" w:lineRule="exact"/>
              <w:jc w:val="center"/>
              <w:rPr>
                <w:rFonts w:eastAsia="Times New Roman"/>
              </w:rPr>
            </w:pPr>
          </w:p>
        </w:tc>
      </w:tr>
      <w:tr w:rsidR="00C805BB" w:rsidRPr="00C805BB" w14:paraId="5A231628" w14:textId="77777777" w:rsidTr="009B1C3D">
        <w:trPr>
          <w:cantSplit/>
          <w:trHeight w:val="282"/>
        </w:trPr>
        <w:tc>
          <w:tcPr>
            <w:tcW w:w="9039" w:type="dxa"/>
            <w:gridSpan w:val="5"/>
            <w:vAlign w:val="center"/>
          </w:tcPr>
          <w:p w14:paraId="4B264322" w14:textId="77777777" w:rsidR="00C805BB" w:rsidRPr="00C805BB" w:rsidRDefault="00C805BB" w:rsidP="00C805BB">
            <w:pPr>
              <w:spacing w:line="300" w:lineRule="exact"/>
              <w:jc w:val="right"/>
              <w:rPr>
                <w:rFonts w:eastAsia="Times New Roman"/>
                <w:sz w:val="22"/>
                <w:szCs w:val="22"/>
              </w:rPr>
            </w:pPr>
            <w:r w:rsidRPr="00C805B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Montant Total TTC EN DIRHAMS</w:t>
            </w:r>
          </w:p>
        </w:tc>
        <w:tc>
          <w:tcPr>
            <w:tcW w:w="1701" w:type="dxa"/>
            <w:vAlign w:val="center"/>
          </w:tcPr>
          <w:p w14:paraId="15EA5748" w14:textId="77777777" w:rsidR="00C805BB" w:rsidRPr="00C805BB" w:rsidRDefault="00C805BB" w:rsidP="00C805BB">
            <w:pPr>
              <w:spacing w:line="300" w:lineRule="exact"/>
              <w:jc w:val="center"/>
              <w:rPr>
                <w:rFonts w:eastAsia="Times New Roman"/>
              </w:rPr>
            </w:pPr>
          </w:p>
        </w:tc>
      </w:tr>
    </w:tbl>
    <w:p w14:paraId="09937764" w14:textId="77777777" w:rsidR="00AD058E" w:rsidRPr="00BC4D20" w:rsidRDefault="00AD058E" w:rsidP="00E53F9B">
      <w:pPr>
        <w:jc w:val="both"/>
        <w:rPr>
          <w:bCs/>
          <w:sz w:val="10"/>
          <w:szCs w:val="14"/>
          <w:highlight w:val="yellow"/>
        </w:rPr>
      </w:pPr>
    </w:p>
    <w:p w14:paraId="17BE6CBA" w14:textId="77777777" w:rsidR="006453FC" w:rsidRPr="00D063B6" w:rsidRDefault="006453FC" w:rsidP="00D063B6">
      <w:pPr>
        <w:spacing w:before="120"/>
        <w:ind w:left="-851" w:right="-709"/>
        <w:jc w:val="both"/>
        <w:rPr>
          <w:rFonts w:asciiTheme="majorBidi" w:hAnsiTheme="majorBidi" w:cstheme="majorBidi"/>
          <w:sz w:val="22"/>
          <w:szCs w:val="22"/>
        </w:rPr>
      </w:pPr>
      <w:r w:rsidRPr="00D063B6">
        <w:rPr>
          <w:rFonts w:asciiTheme="majorBidi" w:hAnsiTheme="majorBidi" w:cstheme="majorBidi"/>
          <w:bCs/>
          <w:sz w:val="22"/>
          <w:szCs w:val="28"/>
        </w:rPr>
        <w:t>Arrêté le présent bordereau des prix détail-estimatif à la somme de </w:t>
      </w:r>
      <w:r w:rsidRPr="00D063B6">
        <w:rPr>
          <w:rFonts w:asciiTheme="majorBidi" w:hAnsiTheme="majorBidi" w:cstheme="majorBidi"/>
          <w:sz w:val="22"/>
          <w:szCs w:val="22"/>
        </w:rPr>
        <w:t xml:space="preserve">(en </w:t>
      </w:r>
      <w:proofErr w:type="gramStart"/>
      <w:r w:rsidRPr="00D063B6">
        <w:rPr>
          <w:rFonts w:asciiTheme="majorBidi" w:hAnsiTheme="majorBidi" w:cstheme="majorBidi"/>
          <w:sz w:val="22"/>
          <w:szCs w:val="22"/>
        </w:rPr>
        <w:t>lettre)…</w:t>
      </w:r>
      <w:proofErr w:type="gramEnd"/>
      <w:r w:rsidRPr="00D063B6">
        <w:rPr>
          <w:rFonts w:asciiTheme="majorBidi" w:hAnsiTheme="majorBidi" w:cstheme="majorBidi"/>
          <w:sz w:val="22"/>
          <w:szCs w:val="22"/>
        </w:rPr>
        <w:t>………</w:t>
      </w:r>
      <w:proofErr w:type="gramStart"/>
      <w:r w:rsidRPr="00D063B6">
        <w:rPr>
          <w:rFonts w:asciiTheme="majorBidi" w:hAnsiTheme="majorBidi" w:cstheme="majorBidi"/>
          <w:sz w:val="22"/>
          <w:szCs w:val="22"/>
        </w:rPr>
        <w:t>…….</w:t>
      </w:r>
      <w:proofErr w:type="gramEnd"/>
      <w:r w:rsidRPr="00D063B6">
        <w:rPr>
          <w:rFonts w:asciiTheme="majorBidi" w:hAnsiTheme="majorBidi" w:cstheme="majorBidi"/>
          <w:sz w:val="22"/>
          <w:szCs w:val="22"/>
        </w:rPr>
        <w:t>.toutes taxes comprises.</w:t>
      </w:r>
    </w:p>
    <w:p w14:paraId="7F5DC78D" w14:textId="77777777" w:rsidR="006453FC" w:rsidRPr="00D857D4" w:rsidRDefault="006453FC" w:rsidP="006453FC">
      <w:pPr>
        <w:jc w:val="center"/>
        <w:rPr>
          <w:rFonts w:asciiTheme="majorBidi" w:hAnsiTheme="majorBidi" w:cstheme="majorBidi"/>
          <w:sz w:val="18"/>
          <w:szCs w:val="18"/>
        </w:rPr>
      </w:pPr>
    </w:p>
    <w:p w14:paraId="4BBD5DF7" w14:textId="12C95510" w:rsidR="006453FC" w:rsidRPr="00236A4B" w:rsidRDefault="006453FC" w:rsidP="006453FC">
      <w:pPr>
        <w:jc w:val="center"/>
        <w:rPr>
          <w:rFonts w:asciiTheme="majorBidi" w:hAnsiTheme="majorBidi" w:cstheme="majorBidi"/>
        </w:rPr>
      </w:pPr>
      <w:r w:rsidRPr="00236A4B">
        <w:rPr>
          <w:rFonts w:asciiTheme="majorBidi" w:hAnsiTheme="majorBidi" w:cstheme="majorBidi"/>
        </w:rPr>
        <w:t>Fait à ………</w:t>
      </w:r>
      <w:r w:rsidR="00D857D4">
        <w:rPr>
          <w:rFonts w:asciiTheme="majorBidi" w:hAnsiTheme="majorBidi" w:cstheme="majorBidi"/>
        </w:rPr>
        <w:t>……</w:t>
      </w:r>
      <w:proofErr w:type="gramStart"/>
      <w:r w:rsidRPr="00236A4B">
        <w:rPr>
          <w:rFonts w:asciiTheme="majorBidi" w:hAnsiTheme="majorBidi" w:cstheme="majorBidi"/>
        </w:rPr>
        <w:t>…….</w:t>
      </w:r>
      <w:proofErr w:type="gramEnd"/>
      <w:r w:rsidRPr="00236A4B">
        <w:rPr>
          <w:rFonts w:asciiTheme="majorBidi" w:hAnsiTheme="majorBidi" w:cstheme="majorBidi"/>
        </w:rPr>
        <w:t>.le…………</w:t>
      </w:r>
      <w:r w:rsidR="00D857D4">
        <w:rPr>
          <w:rFonts w:asciiTheme="majorBidi" w:hAnsiTheme="majorBidi" w:cstheme="majorBidi"/>
        </w:rPr>
        <w:t>…</w:t>
      </w:r>
      <w:r w:rsidRPr="00236A4B">
        <w:rPr>
          <w:rFonts w:asciiTheme="majorBidi" w:hAnsiTheme="majorBidi" w:cstheme="majorBidi"/>
        </w:rPr>
        <w:t>….</w:t>
      </w:r>
    </w:p>
    <w:p w14:paraId="3ACA9C61" w14:textId="31709A25" w:rsidR="006453FC" w:rsidRDefault="006453FC" w:rsidP="006453FC">
      <w:pPr>
        <w:jc w:val="center"/>
        <w:rPr>
          <w:rFonts w:asciiTheme="majorBidi" w:hAnsiTheme="majorBidi" w:cstheme="majorBidi"/>
        </w:rPr>
      </w:pPr>
      <w:r w:rsidRPr="00236A4B">
        <w:rPr>
          <w:rFonts w:asciiTheme="majorBidi" w:hAnsiTheme="majorBidi" w:cstheme="majorBidi"/>
        </w:rPr>
        <w:t xml:space="preserve">(Signature et cachet du </w:t>
      </w:r>
      <w:r>
        <w:rPr>
          <w:rFonts w:asciiTheme="majorBidi" w:hAnsiTheme="majorBidi" w:cstheme="majorBidi"/>
        </w:rPr>
        <w:t>pres</w:t>
      </w:r>
      <w:r w:rsidR="00D857D4">
        <w:rPr>
          <w:rFonts w:asciiTheme="majorBidi" w:hAnsiTheme="majorBidi" w:cstheme="majorBidi"/>
        </w:rPr>
        <w:t>tataire</w:t>
      </w:r>
      <w:r w:rsidRPr="00236A4B">
        <w:rPr>
          <w:rFonts w:asciiTheme="majorBidi" w:hAnsiTheme="majorBidi" w:cstheme="majorBidi"/>
        </w:rPr>
        <w:t>)</w:t>
      </w:r>
    </w:p>
    <w:p w14:paraId="276836FF" w14:textId="77777777" w:rsidR="00E15432" w:rsidRPr="00E15432" w:rsidRDefault="00E15432" w:rsidP="00745534">
      <w:pPr>
        <w:ind w:left="-709" w:right="-567"/>
        <w:jc w:val="both"/>
        <w:rPr>
          <w:bCs/>
          <w:sz w:val="10"/>
          <w:szCs w:val="10"/>
        </w:rPr>
      </w:pPr>
    </w:p>
    <w:sectPr w:rsidR="00E15432" w:rsidRPr="00E15432" w:rsidSect="00274106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9B"/>
    <w:rsid w:val="0001005F"/>
    <w:rsid w:val="000A0D75"/>
    <w:rsid w:val="000D3020"/>
    <w:rsid w:val="00237922"/>
    <w:rsid w:val="0025567D"/>
    <w:rsid w:val="00274106"/>
    <w:rsid w:val="002E6D35"/>
    <w:rsid w:val="00317913"/>
    <w:rsid w:val="00342826"/>
    <w:rsid w:val="003B0181"/>
    <w:rsid w:val="003D1773"/>
    <w:rsid w:val="003E4E59"/>
    <w:rsid w:val="004241B0"/>
    <w:rsid w:val="00425AB6"/>
    <w:rsid w:val="005B1BCB"/>
    <w:rsid w:val="006453FC"/>
    <w:rsid w:val="006D1884"/>
    <w:rsid w:val="0073726F"/>
    <w:rsid w:val="00745534"/>
    <w:rsid w:val="007E0ABA"/>
    <w:rsid w:val="00863C06"/>
    <w:rsid w:val="00915EF9"/>
    <w:rsid w:val="00A3384D"/>
    <w:rsid w:val="00AD058E"/>
    <w:rsid w:val="00B52A57"/>
    <w:rsid w:val="00B81068"/>
    <w:rsid w:val="00BC4D20"/>
    <w:rsid w:val="00C368A7"/>
    <w:rsid w:val="00C63C08"/>
    <w:rsid w:val="00C805BB"/>
    <w:rsid w:val="00C8261D"/>
    <w:rsid w:val="00CF1FE1"/>
    <w:rsid w:val="00CF614C"/>
    <w:rsid w:val="00D063B6"/>
    <w:rsid w:val="00D33377"/>
    <w:rsid w:val="00D750B6"/>
    <w:rsid w:val="00D857D4"/>
    <w:rsid w:val="00DD5E1A"/>
    <w:rsid w:val="00E15432"/>
    <w:rsid w:val="00E53F9B"/>
    <w:rsid w:val="00EE64FF"/>
    <w:rsid w:val="00EF415C"/>
    <w:rsid w:val="00F1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44C8"/>
  <w15:chartTrackingRefBased/>
  <w15:docId w15:val="{AC70F126-1135-45AF-862D-A42A1C62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F9B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9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20</cp:revision>
  <cp:lastPrinted>2025-09-23T12:39:00Z</cp:lastPrinted>
  <dcterms:created xsi:type="dcterms:W3CDTF">2024-07-17T12:34:00Z</dcterms:created>
  <dcterms:modified xsi:type="dcterms:W3CDTF">2025-09-23T12:40:00Z</dcterms:modified>
</cp:coreProperties>
</file>